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EDEF11" w14:textId="77777777" w:rsidR="004F5FDC" w:rsidRPr="004F5FDC" w:rsidRDefault="004F5FDC" w:rsidP="004F5FDC">
      <w:pPr>
        <w:shd w:val="clear" w:color="auto" w:fill="FFFFFF"/>
        <w:spacing w:after="0" w:line="240" w:lineRule="auto"/>
        <w:outlineLvl w:val="0"/>
        <w:rPr>
          <w:rFonts w:ascii="Lato" w:eastAsia="Times New Roman" w:hAnsi="Lato" w:cs="Times New Roman"/>
          <w:color w:val="CC3300"/>
          <w:kern w:val="36"/>
          <w:sz w:val="36"/>
          <w:szCs w:val="36"/>
          <w:lang w:eastAsia="fr-BE"/>
        </w:rPr>
      </w:pPr>
      <w:proofErr w:type="spellStart"/>
      <w:r w:rsidRPr="004F5FDC">
        <w:rPr>
          <w:rFonts w:ascii="Lato" w:eastAsia="Times New Roman" w:hAnsi="Lato" w:cs="Times New Roman"/>
          <w:color w:val="CC3300"/>
          <w:kern w:val="36"/>
          <w:sz w:val="36"/>
          <w:szCs w:val="36"/>
          <w:lang w:eastAsia="fr-BE"/>
        </w:rPr>
        <w:t>Trafigura</w:t>
      </w:r>
      <w:proofErr w:type="spellEnd"/>
      <w:r w:rsidRPr="004F5FDC">
        <w:rPr>
          <w:rFonts w:ascii="Lato" w:eastAsia="Times New Roman" w:hAnsi="Lato" w:cs="Times New Roman"/>
          <w:color w:val="CC3300"/>
          <w:kern w:val="36"/>
          <w:sz w:val="36"/>
          <w:szCs w:val="36"/>
          <w:lang w:eastAsia="fr-BE"/>
        </w:rPr>
        <w:t xml:space="preserve"> signe un exercice record</w:t>
      </w:r>
    </w:p>
    <w:p w14:paraId="2CDF8689" w14:textId="77777777" w:rsidR="004F5FDC" w:rsidRDefault="004F5FDC" w:rsidP="004F5FDC">
      <w:pPr>
        <w:shd w:val="clear" w:color="auto" w:fill="FFFFFF"/>
        <w:spacing w:before="75" w:after="75" w:line="240" w:lineRule="auto"/>
        <w:jc w:val="both"/>
        <w:rPr>
          <w:rFonts w:ascii="Lato" w:eastAsia="Times New Roman" w:hAnsi="Lato" w:cs="Times New Roman"/>
          <w:i/>
          <w:iCs/>
          <w:color w:val="000000"/>
          <w:sz w:val="23"/>
          <w:szCs w:val="23"/>
          <w:lang w:eastAsia="fr-BE"/>
        </w:rPr>
      </w:pPr>
    </w:p>
    <w:p w14:paraId="6C122DF7" w14:textId="6DB0A60F" w:rsidR="004F5FDC" w:rsidRPr="004F5FDC" w:rsidRDefault="004F5FDC" w:rsidP="004F5FDC">
      <w:pPr>
        <w:shd w:val="clear" w:color="auto" w:fill="FFFFFF"/>
        <w:spacing w:before="75" w:after="75" w:line="240" w:lineRule="auto"/>
        <w:jc w:val="both"/>
        <w:rPr>
          <w:rFonts w:ascii="Lato" w:eastAsia="Times New Roman" w:hAnsi="Lato" w:cs="Times New Roman"/>
          <w:color w:val="000000"/>
          <w:sz w:val="23"/>
          <w:szCs w:val="23"/>
          <w:lang w:eastAsia="fr-BE"/>
        </w:rPr>
      </w:pPr>
      <w:r w:rsidRPr="004F5FDC">
        <w:rPr>
          <w:rFonts w:ascii="Lato" w:eastAsia="Times New Roman" w:hAnsi="Lato" w:cs="Times New Roman"/>
          <w:color w:val="000000"/>
          <w:sz w:val="23"/>
          <w:szCs w:val="23"/>
          <w:lang w:eastAsia="fr-BE"/>
        </w:rPr>
        <w:t xml:space="preserve">Le géant des matières premières </w:t>
      </w:r>
      <w:proofErr w:type="spellStart"/>
      <w:r w:rsidRPr="004F5FDC">
        <w:rPr>
          <w:rFonts w:ascii="Lato" w:eastAsia="Times New Roman" w:hAnsi="Lato" w:cs="Times New Roman"/>
          <w:color w:val="000000"/>
          <w:sz w:val="23"/>
          <w:szCs w:val="23"/>
          <w:lang w:eastAsia="fr-BE"/>
        </w:rPr>
        <w:t>Trafigura</w:t>
      </w:r>
      <w:proofErr w:type="spellEnd"/>
      <w:r w:rsidRPr="004F5FDC">
        <w:rPr>
          <w:rFonts w:ascii="Lato" w:eastAsia="Times New Roman" w:hAnsi="Lato" w:cs="Times New Roman"/>
          <w:color w:val="000000"/>
          <w:sz w:val="23"/>
          <w:szCs w:val="23"/>
          <w:lang w:eastAsia="fr-BE"/>
        </w:rPr>
        <w:t xml:space="preserve"> a réalisé un exercice 2020/</w:t>
      </w:r>
      <w:proofErr w:type="gramStart"/>
      <w:r w:rsidRPr="004F5FDC">
        <w:rPr>
          <w:rFonts w:ascii="Lato" w:eastAsia="Times New Roman" w:hAnsi="Lato" w:cs="Times New Roman"/>
          <w:color w:val="000000"/>
          <w:sz w:val="23"/>
          <w:szCs w:val="23"/>
          <w:lang w:eastAsia="fr-BE"/>
        </w:rPr>
        <w:t>2021  exceptionnel</w:t>
      </w:r>
      <w:proofErr w:type="gramEnd"/>
      <w:r w:rsidRPr="004F5FDC">
        <w:rPr>
          <w:rFonts w:ascii="Lato" w:eastAsia="Times New Roman" w:hAnsi="Lato" w:cs="Times New Roman"/>
          <w:color w:val="000000"/>
          <w:sz w:val="23"/>
          <w:szCs w:val="23"/>
          <w:lang w:eastAsia="fr-BE"/>
        </w:rPr>
        <w:t>. Le chiffre d’affaires a bondi de 57% à 231,3 milliards, porté par la hausse des cours des matières premières et des volumes. « </w:t>
      </w:r>
      <w:r w:rsidRPr="004F5FDC">
        <w:rPr>
          <w:rFonts w:ascii="Lato" w:eastAsia="Times New Roman" w:hAnsi="Lato" w:cs="Times New Roman"/>
          <w:i/>
          <w:iCs/>
          <w:color w:val="000000"/>
          <w:sz w:val="23"/>
          <w:szCs w:val="23"/>
          <w:lang w:eastAsia="fr-BE"/>
        </w:rPr>
        <w:t>Le bénéfice, le chiffre d’affaires et les volumes sont les plus hauts de toute l’histoire du groupe</w:t>
      </w:r>
      <w:r w:rsidRPr="004F5FDC">
        <w:rPr>
          <w:rFonts w:ascii="Lato" w:eastAsia="Times New Roman" w:hAnsi="Lato" w:cs="Times New Roman"/>
          <w:color w:val="000000"/>
          <w:sz w:val="23"/>
          <w:szCs w:val="23"/>
          <w:lang w:eastAsia="fr-BE"/>
        </w:rPr>
        <w:t xml:space="preserve"> », a déclaré </w:t>
      </w:r>
      <w:proofErr w:type="spellStart"/>
      <w:r w:rsidRPr="004F5FDC">
        <w:rPr>
          <w:rFonts w:ascii="Lato" w:eastAsia="Times New Roman" w:hAnsi="Lato" w:cs="Times New Roman"/>
          <w:color w:val="000000"/>
          <w:sz w:val="23"/>
          <w:szCs w:val="23"/>
          <w:lang w:eastAsia="fr-BE"/>
        </w:rPr>
        <w:t>Trafigura</w:t>
      </w:r>
      <w:proofErr w:type="spellEnd"/>
      <w:r w:rsidRPr="004F5FDC">
        <w:rPr>
          <w:rFonts w:ascii="Lato" w:eastAsia="Times New Roman" w:hAnsi="Lato" w:cs="Times New Roman"/>
          <w:color w:val="000000"/>
          <w:sz w:val="23"/>
          <w:szCs w:val="23"/>
          <w:lang w:eastAsia="fr-BE"/>
        </w:rPr>
        <w:t xml:space="preserve"> dans un communiqué.</w:t>
      </w:r>
    </w:p>
    <w:p w14:paraId="107A3B98" w14:textId="77777777" w:rsidR="004F5FDC" w:rsidRPr="004F5FDC" w:rsidRDefault="004F5FDC" w:rsidP="004F5FDC">
      <w:pPr>
        <w:shd w:val="clear" w:color="auto" w:fill="FFFFFF"/>
        <w:spacing w:before="75" w:after="75" w:line="240" w:lineRule="auto"/>
        <w:jc w:val="both"/>
        <w:rPr>
          <w:rFonts w:ascii="Lato" w:eastAsia="Times New Roman" w:hAnsi="Lato" w:cs="Times New Roman"/>
          <w:color w:val="000000"/>
          <w:sz w:val="23"/>
          <w:szCs w:val="23"/>
          <w:lang w:eastAsia="fr-BE"/>
        </w:rPr>
      </w:pPr>
      <w:r w:rsidRPr="004F5FDC">
        <w:rPr>
          <w:rFonts w:ascii="Lato" w:eastAsia="Times New Roman" w:hAnsi="Lato" w:cs="Times New Roman"/>
          <w:color w:val="000000"/>
          <w:sz w:val="23"/>
          <w:szCs w:val="23"/>
          <w:lang w:eastAsia="fr-BE"/>
        </w:rPr>
        <w:t>Dans le segment des métaux non-ferreux, les volumes ont augmenté de 9% à 22,8 millions de tonnes métriques. « </w:t>
      </w:r>
      <w:r w:rsidRPr="004F5FDC">
        <w:rPr>
          <w:rFonts w:ascii="Lato" w:eastAsia="Times New Roman" w:hAnsi="Lato" w:cs="Times New Roman"/>
          <w:i/>
          <w:iCs/>
          <w:color w:val="000000"/>
          <w:sz w:val="23"/>
          <w:szCs w:val="23"/>
          <w:lang w:eastAsia="fr-BE"/>
        </w:rPr>
        <w:t xml:space="preserve">Les fragilités de la chaîne d’approvisionnement </w:t>
      </w:r>
      <w:proofErr w:type="gramStart"/>
      <w:r w:rsidRPr="004F5FDC">
        <w:rPr>
          <w:rFonts w:ascii="Lato" w:eastAsia="Times New Roman" w:hAnsi="Lato" w:cs="Times New Roman"/>
          <w:i/>
          <w:iCs/>
          <w:color w:val="000000"/>
          <w:sz w:val="23"/>
          <w:szCs w:val="23"/>
          <w:lang w:eastAsia="fr-BE"/>
        </w:rPr>
        <w:t>sont  apparues</w:t>
      </w:r>
      <w:proofErr w:type="gramEnd"/>
      <w:r w:rsidRPr="004F5FDC">
        <w:rPr>
          <w:rFonts w:ascii="Lato" w:eastAsia="Times New Roman" w:hAnsi="Lato" w:cs="Times New Roman"/>
          <w:i/>
          <w:iCs/>
          <w:color w:val="000000"/>
          <w:sz w:val="23"/>
          <w:szCs w:val="23"/>
          <w:lang w:eastAsia="fr-BE"/>
        </w:rPr>
        <w:t xml:space="preserve"> sous l’effet du rebond de la demande qui a mis sous tension la logistique et les disponibilités</w:t>
      </w:r>
      <w:r w:rsidRPr="004F5FDC">
        <w:rPr>
          <w:rFonts w:ascii="Lato" w:eastAsia="Times New Roman" w:hAnsi="Lato" w:cs="Times New Roman"/>
          <w:color w:val="000000"/>
          <w:sz w:val="23"/>
          <w:szCs w:val="23"/>
          <w:lang w:eastAsia="fr-BE"/>
        </w:rPr>
        <w:t> », a commenté Jeremy Weir, dg du groupe.</w:t>
      </w:r>
    </w:p>
    <w:p w14:paraId="3C4CE832" w14:textId="77777777" w:rsidR="004F5FDC" w:rsidRPr="004F5FDC" w:rsidRDefault="004F5FDC" w:rsidP="004F5FDC">
      <w:pPr>
        <w:shd w:val="clear" w:color="auto" w:fill="FFFFFF"/>
        <w:spacing w:before="75" w:after="75" w:line="240" w:lineRule="auto"/>
        <w:jc w:val="both"/>
        <w:rPr>
          <w:rFonts w:ascii="Lato" w:eastAsia="Times New Roman" w:hAnsi="Lato" w:cs="Times New Roman"/>
          <w:color w:val="000000"/>
          <w:sz w:val="23"/>
          <w:szCs w:val="23"/>
          <w:lang w:eastAsia="fr-BE"/>
        </w:rPr>
      </w:pPr>
      <w:r w:rsidRPr="004F5FDC">
        <w:rPr>
          <w:rFonts w:ascii="Lato" w:eastAsia="Times New Roman" w:hAnsi="Lato" w:cs="Times New Roman"/>
          <w:color w:val="000000"/>
          <w:sz w:val="23"/>
          <w:szCs w:val="23"/>
          <w:lang w:eastAsia="fr-BE"/>
        </w:rPr>
        <w:t xml:space="preserve">Cette année, </w:t>
      </w:r>
      <w:proofErr w:type="spellStart"/>
      <w:r w:rsidRPr="004F5FDC">
        <w:rPr>
          <w:rFonts w:ascii="Lato" w:eastAsia="Times New Roman" w:hAnsi="Lato" w:cs="Times New Roman"/>
          <w:color w:val="000000"/>
          <w:sz w:val="23"/>
          <w:szCs w:val="23"/>
          <w:lang w:eastAsia="fr-BE"/>
        </w:rPr>
        <w:t>Trafigura</w:t>
      </w:r>
      <w:proofErr w:type="spellEnd"/>
      <w:r w:rsidRPr="004F5FDC">
        <w:rPr>
          <w:rFonts w:ascii="Lato" w:eastAsia="Times New Roman" w:hAnsi="Lato" w:cs="Times New Roman"/>
          <w:color w:val="000000"/>
          <w:sz w:val="23"/>
          <w:szCs w:val="23"/>
          <w:lang w:eastAsia="fr-BE"/>
        </w:rPr>
        <w:t xml:space="preserve"> a également pris des engagements environnementaux, en fondant avec plusieurs membres et à l’initiative du département d’Etat américain, la </w:t>
      </w:r>
      <w:r w:rsidRPr="004F5FDC">
        <w:rPr>
          <w:rFonts w:ascii="Lato" w:eastAsia="Times New Roman" w:hAnsi="Lato" w:cs="Times New Roman"/>
          <w:i/>
          <w:iCs/>
          <w:color w:val="000000"/>
          <w:sz w:val="23"/>
          <w:szCs w:val="23"/>
          <w:lang w:eastAsia="fr-BE"/>
        </w:rPr>
        <w:t xml:space="preserve">First </w:t>
      </w:r>
      <w:proofErr w:type="spellStart"/>
      <w:r w:rsidRPr="004F5FDC">
        <w:rPr>
          <w:rFonts w:ascii="Lato" w:eastAsia="Times New Roman" w:hAnsi="Lato" w:cs="Times New Roman"/>
          <w:i/>
          <w:iCs/>
          <w:color w:val="000000"/>
          <w:sz w:val="23"/>
          <w:szCs w:val="23"/>
          <w:lang w:eastAsia="fr-BE"/>
        </w:rPr>
        <w:t>Movers</w:t>
      </w:r>
      <w:proofErr w:type="spellEnd"/>
      <w:r w:rsidRPr="004F5FDC">
        <w:rPr>
          <w:rFonts w:ascii="Lato" w:eastAsia="Times New Roman" w:hAnsi="Lato" w:cs="Times New Roman"/>
          <w:i/>
          <w:iCs/>
          <w:color w:val="000000"/>
          <w:sz w:val="23"/>
          <w:szCs w:val="23"/>
          <w:lang w:eastAsia="fr-BE"/>
        </w:rPr>
        <w:t xml:space="preserve"> Coalition</w:t>
      </w:r>
      <w:r w:rsidRPr="004F5FDC">
        <w:rPr>
          <w:rFonts w:ascii="Lato" w:eastAsia="Times New Roman" w:hAnsi="Lato" w:cs="Times New Roman"/>
          <w:color w:val="000000"/>
          <w:sz w:val="23"/>
          <w:szCs w:val="23"/>
          <w:lang w:eastAsia="fr-BE"/>
        </w:rPr>
        <w:t>. Il s’est engagé par exemple à décarboner ses activités de transport maritime et de production d’aluminium. Il a déclaré avoir réalisé des progrès au vu de son objectif de réduction des émissions carbone Scope 1 et Scope 2 de 30% d’ici 2023. « </w:t>
      </w:r>
      <w:r w:rsidRPr="004F5FDC">
        <w:rPr>
          <w:rFonts w:ascii="Lato" w:eastAsia="Times New Roman" w:hAnsi="Lato" w:cs="Times New Roman"/>
          <w:i/>
          <w:iCs/>
          <w:color w:val="000000"/>
          <w:sz w:val="23"/>
          <w:szCs w:val="23"/>
          <w:lang w:eastAsia="fr-BE"/>
        </w:rPr>
        <w:t>Nous avons également réalisé d’énormes progrès dans la diversification de ces activités pour jouer un rôle majeur dans la transition énergétique</w:t>
      </w:r>
      <w:r w:rsidRPr="004F5FDC">
        <w:rPr>
          <w:rFonts w:ascii="Lato" w:eastAsia="Times New Roman" w:hAnsi="Lato" w:cs="Times New Roman"/>
          <w:color w:val="000000"/>
          <w:sz w:val="23"/>
          <w:szCs w:val="23"/>
          <w:lang w:eastAsia="fr-BE"/>
        </w:rPr>
        <w:t> », a ajouté Jeremy Weir. Le bénéfice net est ressorti en hausse de 93,7% sur un an, à 3,1 milliards de dollars.</w:t>
      </w:r>
    </w:p>
    <w:p w14:paraId="6D74A5EC" w14:textId="77777777" w:rsidR="00C12078" w:rsidRDefault="00C12078"/>
    <w:sectPr w:rsidR="00C120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FDC"/>
    <w:rsid w:val="004F5FDC"/>
    <w:rsid w:val="00C12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73D49E"/>
  <w15:chartTrackingRefBased/>
  <w15:docId w15:val="{9AC50E2E-E748-4B79-BE94-F236A5727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163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214</Words>
  <Characters>1178</Characters>
  <Application>Microsoft Office Word</Application>
  <DocSecurity>0</DocSecurity>
  <Lines>9</Lines>
  <Paragraphs>2</Paragraphs>
  <ScaleCrop>false</ScaleCrop>
  <Company/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Sebastien Klinck</dc:creator>
  <cp:keywords/>
  <dc:description/>
  <cp:lastModifiedBy>Sebastien Klinck</cp:lastModifiedBy>
  <cp:revision>1</cp:revision>
  <dcterms:created xsi:type="dcterms:W3CDTF">2021-12-14T13:20:00Z</dcterms:created>
  <dcterms:modified xsi:type="dcterms:W3CDTF">2021-12-14T13:22:00Z</dcterms:modified>
</cp:coreProperties>
</file>